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основании </w:t>
      </w:r>
      <w:r>
        <w:rPr>
          <w:rFonts w:ascii="Times New Roman" w:hAnsi="Times New Roman" w:cs="Times New Roman"/>
          <w:sz w:val="28"/>
          <w:szCs w:val="28"/>
        </w:rPr>
        <w:t xml:space="preserve">приказа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Тюменской области от 29 января 2026 г. № 14, в соответствии с пунктом 20 Плана контрольных мероприятий Управления Федерального казначейства по Тюменской области в финансово-бюджетной сфере на 2026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проведена </w:t>
      </w:r>
      <w:r>
        <w:rPr>
          <w:rFonts w:ascii="Times New Roman" w:hAnsi="Times New Roman" w:cs="Times New Roman"/>
          <w:sz w:val="28"/>
          <w:szCs w:val="28"/>
        </w:rPr>
        <w:t xml:space="preserve">проверк</w:t>
      </w:r>
      <w:r>
        <w:rPr>
          <w:rFonts w:ascii="Times New Roman" w:hAnsi="Times New Roman" w:cs="Times New Roman"/>
          <w:sz w:val="28"/>
          <w:szCs w:val="28"/>
        </w:rPr>
        <w:t xml:space="preserve">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финансов Администрации города Тобольска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с</w:t>
      </w:r>
      <w:r>
        <w:rPr>
          <w:rFonts w:ascii="Times New Roman" w:hAnsi="Times New Roman" w:cs="Times New Roman"/>
          <w:sz w:val="28"/>
          <w:szCs w:val="28"/>
        </w:rPr>
        <w:t xml:space="preserve"> 1 января 2024 года по 31 декабря 2025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камеральной проверки, не включая периоды времени, не засчитываемые в срок ее проведения, составил 20 рабочих дней.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FR1"/>
    <w:uiPriority w:val="99"/>
    <w:qFormat/>
    <w:pPr>
      <w:ind w:left="4440"/>
      <w:spacing w:before="340"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Аноним</cp:lastModifiedBy>
  <cp:revision>7</cp:revision>
  <dcterms:created xsi:type="dcterms:W3CDTF">2026-04-06T07:06:00Z</dcterms:created>
  <dcterms:modified xsi:type="dcterms:W3CDTF">2026-04-06T10:17:25Z</dcterms:modified>
</cp:coreProperties>
</file>